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FC460" w14:textId="378B820B" w:rsidR="006F7EFD" w:rsidRPr="00C41855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C41855">
        <w:rPr>
          <w:b/>
          <w:sz w:val="24"/>
          <w:szCs w:val="24"/>
        </w:rPr>
        <w:t xml:space="preserve">3GPP TSG RAN WG1 </w:t>
      </w:r>
      <w:r w:rsidR="00292F8D" w:rsidRPr="00C41855">
        <w:rPr>
          <w:rFonts w:hint="eastAsia"/>
          <w:b/>
          <w:sz w:val="24"/>
          <w:szCs w:val="24"/>
          <w:lang w:eastAsia="ko-KR"/>
        </w:rPr>
        <w:t>#10</w:t>
      </w:r>
      <w:r w:rsidR="00AC6EB3">
        <w:rPr>
          <w:b/>
          <w:sz w:val="24"/>
          <w:szCs w:val="24"/>
          <w:lang w:eastAsia="ko-KR"/>
        </w:rPr>
        <w:t>3e</w:t>
      </w:r>
      <w:r w:rsidRPr="00C41855">
        <w:rPr>
          <w:rFonts w:hint="eastAsia"/>
          <w:b/>
          <w:sz w:val="24"/>
          <w:szCs w:val="24"/>
        </w:rPr>
        <w:tab/>
      </w:r>
      <w:r w:rsidR="0091640D" w:rsidRPr="0091640D">
        <w:rPr>
          <w:b/>
          <w:sz w:val="24"/>
          <w:szCs w:val="24"/>
        </w:rPr>
        <w:t>R1-20</w:t>
      </w:r>
      <w:r w:rsidR="00167316">
        <w:rPr>
          <w:b/>
          <w:sz w:val="24"/>
          <w:szCs w:val="24"/>
        </w:rPr>
        <w:t>08310</w:t>
      </w:r>
    </w:p>
    <w:p w14:paraId="12AD8480" w14:textId="68038A09" w:rsidR="000C76CE" w:rsidRPr="00C41855" w:rsidRDefault="00AC6EB3" w:rsidP="006F7EFD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October</w:t>
      </w:r>
      <w:r w:rsidR="009B678F" w:rsidRPr="00C4185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26</w:t>
      </w:r>
      <w:r w:rsidR="009B678F" w:rsidRPr="00C4185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9B678F" w:rsidRPr="00C41855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eastAsia="MS Mincho" w:cs="Arial"/>
          <w:b/>
          <w:bCs/>
          <w:sz w:val="24"/>
          <w:szCs w:val="24"/>
          <w:lang w:eastAsia="ja-JP"/>
        </w:rPr>
        <w:t>November 13</w:t>
      </w:r>
      <w:r w:rsidRPr="00AC6EB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9B678F" w:rsidRPr="00C41855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25C0CC03" w14:textId="77777777" w:rsidR="00154194" w:rsidRPr="00302569" w:rsidRDefault="00154194" w:rsidP="006C551E">
      <w:pPr>
        <w:ind w:firstLineChars="0" w:firstLine="0"/>
        <w:rPr>
          <w:rFonts w:ascii="Arial" w:hAnsi="Arial" w:cs="Arial"/>
          <w:b/>
          <w:sz w:val="22"/>
          <w:lang w:eastAsia="zh-CN"/>
        </w:rPr>
      </w:pPr>
    </w:p>
    <w:p w14:paraId="705F5AB1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9B678F">
        <w:rPr>
          <w:rFonts w:ascii="Arial" w:hAnsi="Arial" w:cs="Arial"/>
          <w:sz w:val="22"/>
        </w:rPr>
        <w:t>8</w:t>
      </w:r>
      <w:r w:rsidR="002C68BD">
        <w:rPr>
          <w:rFonts w:ascii="Arial" w:hAnsi="Arial" w:cs="Arial"/>
          <w:sz w:val="22"/>
        </w:rPr>
        <w:t>.2</w:t>
      </w:r>
      <w:r w:rsidR="009B678F">
        <w:rPr>
          <w:rFonts w:ascii="Arial" w:hAnsi="Arial" w:cs="Arial"/>
          <w:sz w:val="22"/>
        </w:rPr>
        <w:t>.3</w:t>
      </w:r>
    </w:p>
    <w:p w14:paraId="15271CB5" w14:textId="30B98664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AC6EB3">
        <w:rPr>
          <w:rFonts w:ascii="Arial" w:hAnsi="Arial" w:cs="Arial"/>
          <w:sz w:val="22"/>
          <w:lang w:eastAsia="zh-CN"/>
        </w:rPr>
        <w:t>AT&amp;T</w:t>
      </w:r>
    </w:p>
    <w:p w14:paraId="18850E85" w14:textId="15F8EA8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022DF5" w:rsidRPr="00022DF5">
        <w:rPr>
          <w:rFonts w:ascii="Arial" w:hAnsi="Arial" w:cs="Arial"/>
          <w:color w:val="000000"/>
          <w:sz w:val="22"/>
          <w:szCs w:val="22"/>
        </w:rPr>
        <w:t>Coverage enhancement</w:t>
      </w:r>
      <w:r w:rsidR="00AC6EB3">
        <w:rPr>
          <w:rFonts w:ascii="Arial" w:hAnsi="Arial" w:cs="Arial"/>
          <w:color w:val="000000"/>
          <w:sz w:val="22"/>
          <w:szCs w:val="22"/>
        </w:rPr>
        <w:t>s</w:t>
      </w:r>
      <w:r w:rsidR="00022DF5" w:rsidRPr="00022DF5">
        <w:rPr>
          <w:rFonts w:ascii="Arial" w:hAnsi="Arial" w:cs="Arial"/>
          <w:color w:val="000000"/>
          <w:sz w:val="22"/>
          <w:szCs w:val="22"/>
        </w:rPr>
        <w:t xml:space="preserve"> </w:t>
      </w:r>
      <w:r w:rsidR="00AC6EB3">
        <w:rPr>
          <w:rFonts w:ascii="Arial" w:hAnsi="Arial" w:cs="Arial"/>
          <w:color w:val="000000"/>
          <w:sz w:val="22"/>
          <w:szCs w:val="22"/>
        </w:rPr>
        <w:t>for Initial Access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7A9D391D" w14:textId="414AB5CE" w:rsidR="00156AA0" w:rsidRPr="00223ED0" w:rsidRDefault="00AC6EB3" w:rsidP="008A1D15">
      <w:pPr>
        <w:spacing w:before="0" w:after="0" w:line="240" w:lineRule="auto"/>
        <w:ind w:firstLineChars="0" w:firstLine="0"/>
        <w:rPr>
          <w:rFonts w:ascii="Calibri" w:hAnsi="Calibri" w:cs="Calibri"/>
          <w:sz w:val="22"/>
          <w:szCs w:val="22"/>
        </w:rPr>
      </w:pPr>
      <w:bookmarkStart w:id="0" w:name="_Hlk22834419"/>
      <w:r w:rsidRPr="00223ED0">
        <w:rPr>
          <w:rFonts w:ascii="Calibri" w:hAnsi="Calibri" w:cs="Calibri"/>
          <w:sz w:val="22"/>
          <w:szCs w:val="22"/>
        </w:rPr>
        <w:t>In RAN1#102e, the following agreements were made on coverage enhancements for channels other than PUSCH and PUCCH,</w:t>
      </w:r>
    </w:p>
    <w:p w14:paraId="6A2D8151" w14:textId="6EC6E653" w:rsidR="00AC6EB3" w:rsidRPr="00223ED0" w:rsidRDefault="00AC6EB3" w:rsidP="008A1D15">
      <w:pPr>
        <w:spacing w:before="0" w:after="0" w:line="240" w:lineRule="auto"/>
        <w:ind w:firstLineChars="0" w:firstLine="0"/>
        <w:rPr>
          <w:rFonts w:ascii="Calibri" w:hAnsi="Calibri" w:cs="Calibri"/>
          <w:sz w:val="22"/>
          <w:szCs w:val="22"/>
        </w:rPr>
      </w:pPr>
    </w:p>
    <w:p w14:paraId="261EB8BD" w14:textId="77777777" w:rsidR="00AC6EB3" w:rsidRPr="00223ED0" w:rsidRDefault="00AC6EB3" w:rsidP="00AC6EB3">
      <w:pPr>
        <w:ind w:firstLine="220"/>
        <w:rPr>
          <w:rFonts w:ascii="Calibri" w:hAnsi="Calibri" w:cs="Calibri"/>
          <w:sz w:val="22"/>
          <w:szCs w:val="22"/>
          <w:highlight w:val="green"/>
        </w:rPr>
      </w:pPr>
      <w:r w:rsidRPr="00223ED0">
        <w:rPr>
          <w:rFonts w:ascii="Calibri" w:hAnsi="Calibri" w:cs="Calibri"/>
          <w:sz w:val="22"/>
          <w:szCs w:val="22"/>
          <w:highlight w:val="green"/>
        </w:rPr>
        <w:t>Agreements:</w:t>
      </w:r>
    </w:p>
    <w:p w14:paraId="03A1EF73" w14:textId="77777777" w:rsidR="00AC6EB3" w:rsidRPr="00223ED0" w:rsidRDefault="00AC6EB3" w:rsidP="00AC6EB3">
      <w:pPr>
        <w:numPr>
          <w:ilvl w:val="0"/>
          <w:numId w:val="18"/>
        </w:numPr>
        <w:spacing w:before="0" w:after="0" w:line="240" w:lineRule="auto"/>
        <w:ind w:firstLineChars="0"/>
        <w:jc w:val="left"/>
        <w:rPr>
          <w:rFonts w:ascii="Calibri" w:hAnsi="Calibri" w:cs="Calibri"/>
          <w:sz w:val="22"/>
          <w:szCs w:val="22"/>
        </w:rPr>
      </w:pPr>
      <w:r w:rsidRPr="00223ED0">
        <w:rPr>
          <w:rFonts w:ascii="Calibri" w:hAnsi="Calibri" w:cs="Calibri"/>
          <w:sz w:val="22"/>
          <w:szCs w:val="22"/>
        </w:rPr>
        <w:t>Study Msg3 PUSCH enhancement in NR coverage enhancement SI</w:t>
      </w:r>
    </w:p>
    <w:p w14:paraId="766BB882" w14:textId="77777777" w:rsidR="00AC6EB3" w:rsidRPr="00223ED0" w:rsidRDefault="00AC6EB3" w:rsidP="00AC6EB3">
      <w:pPr>
        <w:numPr>
          <w:ilvl w:val="1"/>
          <w:numId w:val="18"/>
        </w:numPr>
        <w:spacing w:before="0" w:after="0" w:line="240" w:lineRule="auto"/>
        <w:ind w:firstLineChars="0"/>
        <w:jc w:val="left"/>
        <w:rPr>
          <w:rFonts w:ascii="Calibri" w:hAnsi="Calibri" w:cs="Calibri"/>
          <w:sz w:val="22"/>
          <w:szCs w:val="22"/>
        </w:rPr>
      </w:pPr>
      <w:r w:rsidRPr="00223ED0">
        <w:rPr>
          <w:rFonts w:ascii="Calibri" w:hAnsi="Calibri" w:cs="Calibri"/>
          <w:sz w:val="22"/>
          <w:szCs w:val="22"/>
        </w:rPr>
        <w:t>Study at least Msg3 PUSCH repetition</w:t>
      </w:r>
    </w:p>
    <w:p w14:paraId="1D925A1A" w14:textId="77777777" w:rsidR="00AC6EB3" w:rsidRPr="00223ED0" w:rsidRDefault="00AC6EB3" w:rsidP="00AC6EB3">
      <w:pPr>
        <w:numPr>
          <w:ilvl w:val="2"/>
          <w:numId w:val="18"/>
        </w:numPr>
        <w:spacing w:before="0" w:after="0" w:line="240" w:lineRule="auto"/>
        <w:ind w:firstLineChars="0"/>
        <w:jc w:val="left"/>
        <w:rPr>
          <w:rFonts w:ascii="Calibri" w:hAnsi="Calibri" w:cs="Calibri"/>
          <w:sz w:val="22"/>
          <w:szCs w:val="22"/>
        </w:rPr>
      </w:pPr>
      <w:r w:rsidRPr="00223ED0">
        <w:rPr>
          <w:rFonts w:ascii="Calibri" w:hAnsi="Calibri" w:cs="Calibri"/>
          <w:sz w:val="22"/>
          <w:szCs w:val="22"/>
        </w:rPr>
        <w:t>FFS the aspects to be enhanced, e.g., signaling indication, repetition pattern, interplay between Msg1 and Msg3, DM-RS enhancements related to repetition etc.</w:t>
      </w:r>
    </w:p>
    <w:p w14:paraId="12974920" w14:textId="77777777" w:rsidR="00AC6EB3" w:rsidRPr="00223ED0" w:rsidRDefault="00AC6EB3" w:rsidP="00AC6EB3">
      <w:pPr>
        <w:numPr>
          <w:ilvl w:val="1"/>
          <w:numId w:val="18"/>
        </w:numPr>
        <w:spacing w:before="0" w:after="0" w:line="240" w:lineRule="auto"/>
        <w:ind w:firstLineChars="0"/>
        <w:jc w:val="left"/>
        <w:rPr>
          <w:rFonts w:ascii="Calibri" w:hAnsi="Calibri" w:cs="Calibri"/>
          <w:sz w:val="22"/>
          <w:szCs w:val="22"/>
        </w:rPr>
      </w:pPr>
      <w:r w:rsidRPr="00223ED0">
        <w:rPr>
          <w:rFonts w:ascii="Calibri" w:hAnsi="Calibri" w:cs="Calibri"/>
          <w:sz w:val="22"/>
          <w:szCs w:val="22"/>
        </w:rPr>
        <w:t>FFS multiple-antenna techniques.</w:t>
      </w:r>
    </w:p>
    <w:p w14:paraId="50DD1482" w14:textId="77777777" w:rsidR="00AC6EB3" w:rsidRPr="00223ED0" w:rsidRDefault="00AC6EB3" w:rsidP="00AC6EB3">
      <w:pPr>
        <w:ind w:firstLine="220"/>
        <w:rPr>
          <w:rFonts w:ascii="Calibri" w:hAnsi="Calibri" w:cs="Calibri"/>
          <w:sz w:val="22"/>
          <w:szCs w:val="22"/>
          <w:highlight w:val="green"/>
        </w:rPr>
      </w:pPr>
    </w:p>
    <w:p w14:paraId="3D435BBC" w14:textId="77777777" w:rsidR="00AC6EB3" w:rsidRPr="00223ED0" w:rsidRDefault="00AC6EB3" w:rsidP="00AC6EB3">
      <w:pPr>
        <w:ind w:firstLine="220"/>
        <w:rPr>
          <w:rFonts w:ascii="Calibri" w:hAnsi="Calibri" w:cs="Calibri"/>
          <w:sz w:val="22"/>
          <w:szCs w:val="22"/>
          <w:highlight w:val="green"/>
        </w:rPr>
      </w:pPr>
      <w:r w:rsidRPr="00223ED0">
        <w:rPr>
          <w:rFonts w:ascii="Calibri" w:hAnsi="Calibri" w:cs="Calibri"/>
          <w:sz w:val="22"/>
          <w:szCs w:val="22"/>
          <w:highlight w:val="green"/>
        </w:rPr>
        <w:t>Agreements:</w:t>
      </w:r>
    </w:p>
    <w:p w14:paraId="5C231596" w14:textId="77777777" w:rsidR="00AC6EB3" w:rsidRPr="00223ED0" w:rsidRDefault="00AC6EB3" w:rsidP="00AC6EB3">
      <w:pPr>
        <w:ind w:firstLine="220"/>
        <w:rPr>
          <w:rFonts w:ascii="Calibri" w:hAnsi="Calibri" w:cs="Calibri"/>
          <w:sz w:val="22"/>
          <w:szCs w:val="22"/>
        </w:rPr>
      </w:pPr>
      <w:r w:rsidRPr="00223ED0">
        <w:rPr>
          <w:rFonts w:ascii="Calibri" w:hAnsi="Calibri" w:cs="Calibri"/>
          <w:sz w:val="22"/>
          <w:szCs w:val="22"/>
        </w:rPr>
        <w:t>If PRACH enhancement is needed, study it in NR coverage enhancement SI, e.g. multiple PRACH transmissions.</w:t>
      </w:r>
    </w:p>
    <w:p w14:paraId="48FFFC13" w14:textId="77777777" w:rsidR="00AC6EB3" w:rsidRPr="00223ED0" w:rsidRDefault="00AC6EB3" w:rsidP="00AC6EB3">
      <w:pPr>
        <w:ind w:firstLine="220"/>
        <w:rPr>
          <w:rFonts w:ascii="Calibri" w:hAnsi="Calibri" w:cs="Calibri"/>
          <w:sz w:val="22"/>
          <w:szCs w:val="22"/>
        </w:rPr>
      </w:pPr>
    </w:p>
    <w:p w14:paraId="1F7643EA" w14:textId="77777777" w:rsidR="00AC6EB3" w:rsidRPr="00223ED0" w:rsidRDefault="00AC6EB3" w:rsidP="00AC6EB3">
      <w:pPr>
        <w:ind w:firstLine="220"/>
        <w:rPr>
          <w:rFonts w:ascii="Calibri" w:hAnsi="Calibri" w:cs="Calibri"/>
          <w:sz w:val="22"/>
          <w:szCs w:val="22"/>
          <w:highlight w:val="green"/>
        </w:rPr>
      </w:pPr>
      <w:r w:rsidRPr="00223ED0">
        <w:rPr>
          <w:rFonts w:ascii="Calibri" w:hAnsi="Calibri" w:cs="Calibri"/>
          <w:sz w:val="22"/>
          <w:szCs w:val="22"/>
          <w:highlight w:val="green"/>
        </w:rPr>
        <w:t>Agreements:</w:t>
      </w:r>
    </w:p>
    <w:p w14:paraId="171827C6" w14:textId="77777777" w:rsidR="00AC6EB3" w:rsidRPr="00223ED0" w:rsidRDefault="00AC6EB3" w:rsidP="00AC6EB3">
      <w:pPr>
        <w:ind w:firstLine="220"/>
        <w:rPr>
          <w:rFonts w:ascii="Calibri" w:hAnsi="Calibri" w:cs="Calibri"/>
          <w:sz w:val="22"/>
          <w:szCs w:val="22"/>
        </w:rPr>
      </w:pPr>
      <w:r w:rsidRPr="00223ED0">
        <w:rPr>
          <w:rFonts w:ascii="Calibri" w:hAnsi="Calibri" w:cs="Calibri"/>
          <w:sz w:val="22"/>
          <w:szCs w:val="22"/>
        </w:rPr>
        <w:t>Study whether/how to enable potential techniques for early CSI and/or beam refinement for physical channels during initial/random access procedure.</w:t>
      </w:r>
    </w:p>
    <w:p w14:paraId="7906C432" w14:textId="77777777" w:rsidR="00AC6EB3" w:rsidRPr="00223ED0" w:rsidRDefault="00AC6EB3" w:rsidP="00D52AFA">
      <w:pPr>
        <w:ind w:firstLineChars="0" w:firstLine="0"/>
        <w:rPr>
          <w:rFonts w:ascii="Calibri" w:hAnsi="Calibri" w:cs="Calibri"/>
          <w:sz w:val="22"/>
          <w:szCs w:val="22"/>
          <w:highlight w:val="green"/>
        </w:rPr>
      </w:pPr>
    </w:p>
    <w:bookmarkEnd w:id="0"/>
    <w:p w14:paraId="3E2A1994" w14:textId="1E06FE35" w:rsidR="00990115" w:rsidRPr="00682F0E" w:rsidRDefault="00015439" w:rsidP="00682F0E">
      <w:pPr>
        <w:spacing w:before="0" w:after="0" w:line="240" w:lineRule="auto"/>
        <w:ind w:firstLineChars="0" w:firstLine="0"/>
        <w:jc w:val="left"/>
        <w:rPr>
          <w:rFonts w:ascii="Calibri" w:eastAsia="DengXian" w:hAnsi="Calibri" w:cs="Calibri"/>
          <w:sz w:val="22"/>
          <w:szCs w:val="22"/>
          <w:lang w:eastAsia="zh-CN"/>
        </w:rPr>
      </w:pPr>
      <w:r w:rsidRPr="00223ED0">
        <w:rPr>
          <w:rFonts w:ascii="Calibri" w:eastAsia="DengXian" w:hAnsi="Calibri" w:cs="Calibri"/>
          <w:sz w:val="22"/>
          <w:szCs w:val="22"/>
          <w:lang w:eastAsia="zh-CN"/>
        </w:rPr>
        <w:t>In this contribution, we discuss potential beam refinement enhancements</w:t>
      </w:r>
      <w:r w:rsidR="00D52AFA">
        <w:rPr>
          <w:rFonts w:ascii="Calibri" w:eastAsia="DengXian" w:hAnsi="Calibri" w:cs="Calibri"/>
          <w:sz w:val="22"/>
          <w:szCs w:val="22"/>
          <w:lang w:eastAsia="zh-CN"/>
        </w:rPr>
        <w:t xml:space="preserve"> for physical channels</w:t>
      </w:r>
      <w:r w:rsidRPr="00223ED0">
        <w:rPr>
          <w:rFonts w:ascii="Calibri" w:eastAsia="DengXian" w:hAnsi="Calibri" w:cs="Calibri"/>
          <w:sz w:val="22"/>
          <w:szCs w:val="22"/>
          <w:lang w:eastAsia="zh-CN"/>
        </w:rPr>
        <w:t xml:space="preserve"> during initial access/random access procedure. </w:t>
      </w:r>
      <w:r w:rsidR="00513577" w:rsidRPr="00223ED0">
        <w:rPr>
          <w:rFonts w:ascii="Calibri" w:eastAsia="DengXian" w:hAnsi="Calibri" w:cs="Calibri"/>
          <w:sz w:val="22"/>
          <w:szCs w:val="22"/>
          <w:lang w:eastAsia="zh-CN"/>
        </w:rPr>
        <w:t>We propose to use msg.3 to report another beam, to be used for msg. 4 PDSCH coverage enhancement.</w:t>
      </w:r>
    </w:p>
    <w:p w14:paraId="70241230" w14:textId="22068284" w:rsidR="00990115" w:rsidRDefault="00513577" w:rsidP="00990115">
      <w:pPr>
        <w:pStyle w:val="Heading1"/>
      </w:pPr>
      <w:r>
        <w:t>Beam Reporting and Adjustment in Initial Access</w:t>
      </w:r>
    </w:p>
    <w:p w14:paraId="5F20ADA3" w14:textId="3109FA27" w:rsidR="00176ECF" w:rsidRPr="00223ED0" w:rsidRDefault="00513577" w:rsidP="00990115">
      <w:pPr>
        <w:pStyle w:val="maintext"/>
        <w:rPr>
          <w:sz w:val="22"/>
          <w:szCs w:val="22"/>
        </w:rPr>
      </w:pPr>
      <w:r w:rsidRPr="00223ED0">
        <w:rPr>
          <w:sz w:val="22"/>
          <w:szCs w:val="22"/>
        </w:rPr>
        <w:t xml:space="preserve">During initial cell search, in the NR 4-step random access procedure, beam measurement and reporting is performed using SS/PBCH blocks. The </w:t>
      </w:r>
      <w:proofErr w:type="spellStart"/>
      <w:r w:rsidRPr="00223ED0">
        <w:rPr>
          <w:sz w:val="22"/>
          <w:szCs w:val="22"/>
        </w:rPr>
        <w:t>gNB</w:t>
      </w:r>
      <w:proofErr w:type="spellEnd"/>
      <w:r w:rsidRPr="00223ED0">
        <w:rPr>
          <w:sz w:val="22"/>
          <w:szCs w:val="22"/>
        </w:rPr>
        <w:t xml:space="preserve"> transmits multiple SS/PBCH blocks with different spatial filters, and the UE measures and selects the beam based on SS-RSRP. The UE transmits the PRACH according to the detected best beam. At the </w:t>
      </w:r>
      <w:proofErr w:type="spellStart"/>
      <w:r w:rsidRPr="00223ED0">
        <w:rPr>
          <w:sz w:val="22"/>
          <w:szCs w:val="22"/>
        </w:rPr>
        <w:t>gNB</w:t>
      </w:r>
      <w:proofErr w:type="spellEnd"/>
      <w:r w:rsidRPr="00223ED0">
        <w:rPr>
          <w:sz w:val="22"/>
          <w:szCs w:val="22"/>
        </w:rPr>
        <w:t>, the SS/PBCH block is derived from the PRACH preamble/resource of msg. 1.</w:t>
      </w:r>
      <w:r w:rsidR="00FE0187" w:rsidRPr="00223ED0">
        <w:rPr>
          <w:sz w:val="22"/>
          <w:szCs w:val="22"/>
        </w:rPr>
        <w:t xml:space="preserve"> </w:t>
      </w:r>
      <w:r w:rsidR="00176ECF" w:rsidRPr="00223ED0">
        <w:rPr>
          <w:sz w:val="22"/>
          <w:szCs w:val="22"/>
        </w:rPr>
        <w:t xml:space="preserve">The </w:t>
      </w:r>
      <w:proofErr w:type="spellStart"/>
      <w:r w:rsidR="00176ECF" w:rsidRPr="00223ED0">
        <w:rPr>
          <w:sz w:val="22"/>
          <w:szCs w:val="22"/>
        </w:rPr>
        <w:t>gNB</w:t>
      </w:r>
      <w:proofErr w:type="spellEnd"/>
      <w:r w:rsidR="00176ECF" w:rsidRPr="00223ED0">
        <w:rPr>
          <w:sz w:val="22"/>
          <w:szCs w:val="22"/>
        </w:rPr>
        <w:t xml:space="preserve"> then uses the selected beam based on msg. 1 for subsequent msg.2 and msg.4 PDSCH transmissions. </w:t>
      </w:r>
    </w:p>
    <w:p w14:paraId="099A565E" w14:textId="204EFFDE" w:rsidR="00223ED0" w:rsidRPr="00223ED0" w:rsidRDefault="00176ECF" w:rsidP="00990115">
      <w:pPr>
        <w:pStyle w:val="maintext"/>
        <w:rPr>
          <w:sz w:val="22"/>
          <w:szCs w:val="22"/>
        </w:rPr>
      </w:pPr>
      <w:r w:rsidRPr="00223ED0">
        <w:rPr>
          <w:sz w:val="22"/>
          <w:szCs w:val="22"/>
        </w:rPr>
        <w:t xml:space="preserve">To overcome potential coverage shortage in msg. 4 PDSCH, as shown in simulation results in RAN1#102e [1], the UE does not have the same coverage enhancement options that it has when in RRC connected mode. </w:t>
      </w:r>
      <w:r w:rsidR="00627684" w:rsidRPr="00223ED0">
        <w:rPr>
          <w:sz w:val="22"/>
          <w:szCs w:val="22"/>
        </w:rPr>
        <w:t xml:space="preserve">If </w:t>
      </w:r>
      <w:r w:rsidR="00627684" w:rsidRPr="00223ED0">
        <w:rPr>
          <w:sz w:val="22"/>
          <w:szCs w:val="22"/>
        </w:rPr>
        <w:lastRenderedPageBreak/>
        <w:t>another beam is available and is reported in msg. 3 to be used for beam adjustment in msg. 4</w:t>
      </w:r>
      <w:r w:rsidR="00223ED0" w:rsidRPr="00223ED0">
        <w:rPr>
          <w:sz w:val="22"/>
          <w:szCs w:val="22"/>
        </w:rPr>
        <w:t xml:space="preserve">, coverage can be enhanced without relying on RRC connected mode procedures or signalling. </w:t>
      </w:r>
    </w:p>
    <w:p w14:paraId="65E8F519" w14:textId="7C8EE0E1" w:rsidR="00223ED0" w:rsidRPr="0092006E" w:rsidRDefault="00223ED0" w:rsidP="00223ED0">
      <w:pPr>
        <w:spacing w:line="312" w:lineRule="auto"/>
        <w:ind w:firstLineChars="0" w:firstLine="0"/>
        <w:rPr>
          <w:rFonts w:ascii="Calibri" w:eastAsia="SimSun" w:hAnsi="Calibri" w:cs="Arial"/>
          <w:b/>
          <w:sz w:val="22"/>
          <w:szCs w:val="22"/>
          <w:lang w:val="en-GB"/>
        </w:rPr>
      </w:pPr>
      <w:r w:rsidRPr="00223ED0">
        <w:rPr>
          <w:rFonts w:ascii="Calibri" w:eastAsia="SimSun" w:hAnsi="Calibri" w:cs="Arial"/>
          <w:b/>
          <w:sz w:val="22"/>
          <w:szCs w:val="22"/>
          <w:lang w:val="en-GB"/>
        </w:rPr>
        <w:t>Observation 1: Beam adjustment using alternative beam reporting in msg. 3 is beneficial for initial access coverage enhancement</w:t>
      </w:r>
    </w:p>
    <w:p w14:paraId="580733C9" w14:textId="19FEB26B" w:rsidR="00682F0E" w:rsidRDefault="00682F0E" w:rsidP="00223ED0">
      <w:pPr>
        <w:pStyle w:val="maintext"/>
        <w:rPr>
          <w:sz w:val="22"/>
          <w:szCs w:val="22"/>
        </w:rPr>
      </w:pPr>
    </w:p>
    <w:p w14:paraId="4E8B479A" w14:textId="77777777" w:rsidR="00682F0E" w:rsidRDefault="00682F0E" w:rsidP="00682F0E">
      <w:pPr>
        <w:pStyle w:val="maintex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DADDC3" wp14:editId="7E7A40C7">
                <wp:simplePos x="0" y="0"/>
                <wp:positionH relativeFrom="column">
                  <wp:posOffset>887730</wp:posOffset>
                </wp:positionH>
                <wp:positionV relativeFrom="paragraph">
                  <wp:posOffset>2858770</wp:posOffset>
                </wp:positionV>
                <wp:extent cx="4315460" cy="361950"/>
                <wp:effectExtent l="1905" t="0" r="0" b="635"/>
                <wp:wrapTopAndBottom/>
                <wp:docPr id="1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546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B36088" w14:textId="77777777" w:rsidR="00682F0E" w:rsidRPr="00A63284" w:rsidRDefault="00682F0E" w:rsidP="00682F0E">
                            <w:pPr>
                              <w:pStyle w:val="Caption"/>
                              <w:ind w:firstLine="181"/>
                              <w:rPr>
                                <w:rFonts w:ascii="Calibri" w:hAnsi="Calibri" w:cs="Arial"/>
                                <w:noProof/>
                                <w:sz w:val="16"/>
                                <w:lang w:eastAsia="ko-KR"/>
                              </w:rPr>
                            </w:pPr>
                            <w:r w:rsidRPr="00A63284">
                              <w:rPr>
                                <w:rFonts w:ascii="Calibri" w:hAnsi="Calibri"/>
                                <w:sz w:val="18"/>
                              </w:rPr>
                              <w:t xml:space="preserve">Figure </w:t>
                            </w:r>
                            <w:r w:rsidRPr="00A63284">
                              <w:rPr>
                                <w:rFonts w:ascii="Calibri" w:hAnsi="Calibri"/>
                                <w:sz w:val="18"/>
                              </w:rPr>
                              <w:fldChar w:fldCharType="begin"/>
                            </w:r>
                            <w:r w:rsidRPr="00A63284">
                              <w:rPr>
                                <w:rFonts w:ascii="Calibri" w:hAnsi="Calibri"/>
                                <w:sz w:val="18"/>
                              </w:rPr>
                              <w:instrText xml:space="preserve"> SEQ Figure \* ARABIC </w:instrText>
                            </w:r>
                            <w:r w:rsidRPr="00A63284">
                              <w:rPr>
                                <w:rFonts w:ascii="Calibri" w:hAnsi="Calibri"/>
                                <w:sz w:val="18"/>
                              </w:rPr>
                              <w:fldChar w:fldCharType="separate"/>
                            </w:r>
                            <w:r>
                              <w:rPr>
                                <w:rFonts w:ascii="Calibri" w:hAnsi="Calibri"/>
                                <w:noProof/>
                                <w:sz w:val="18"/>
                              </w:rPr>
                              <w:t>1</w:t>
                            </w:r>
                            <w:r w:rsidRPr="00A63284">
                              <w:rPr>
                                <w:rFonts w:ascii="Calibri" w:hAnsi="Calibri"/>
                                <w:sz w:val="18"/>
                              </w:rPr>
                              <w:fldChar w:fldCharType="end"/>
                            </w:r>
                            <w:r w:rsidRPr="00A63284">
                              <w:rPr>
                                <w:rFonts w:ascii="Calibri" w:hAnsi="Calibri"/>
                                <w:sz w:val="18"/>
                              </w:rPr>
                              <w:t>: An example of indicating alternative beams in msg. 3 of RACH procedure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03DADDC3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position:absolute;left:0;text-align:left;margin-left:69.9pt;margin-top:225.1pt;width:339.8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" stroked="f">
                <v:textbox style="mso-fit-shape-to-text:t" inset="0,0,0,0">
                  <w:txbxContent>
                    <w:p w14:paraId="7AB36088" w14:textId="77777777" w:rsidR="00682F0E" w:rsidRPr="00A63284" w:rsidRDefault="00682F0E" w:rsidP="00682F0E">
                      <w:pPr>
                        <w:pStyle w:val="Caption"/>
                        <w:ind w:firstLine="181"/>
                        <w:rPr>
                          <w:rFonts w:ascii="Calibri" w:hAnsi="Calibri" w:cs="Arial"/>
                          <w:noProof/>
                          <w:sz w:val="16"/>
                          <w:lang w:eastAsia="ko-KR"/>
                        </w:rPr>
                      </w:pPr>
                      <w:r w:rsidRPr="00A63284">
                        <w:rPr>
                          <w:rFonts w:ascii="Calibri" w:hAnsi="Calibri"/>
                          <w:sz w:val="18"/>
                        </w:rPr>
                        <w:t xml:space="preserve">Figure </w:t>
                      </w:r>
                      <w:r w:rsidRPr="00A63284">
                        <w:rPr>
                          <w:rFonts w:ascii="Calibri" w:hAnsi="Calibri"/>
                          <w:sz w:val="18"/>
                        </w:rPr>
                        <w:fldChar w:fldCharType="begin"/>
                      </w:r>
                      <w:r w:rsidRPr="00A63284">
                        <w:rPr>
                          <w:rFonts w:ascii="Calibri" w:hAnsi="Calibri"/>
                          <w:sz w:val="18"/>
                        </w:rPr>
                        <w:instrText xml:space="preserve"> SEQ Figure \* ARABIC </w:instrText>
                      </w:r>
                      <w:r w:rsidRPr="00A63284">
                        <w:rPr>
                          <w:rFonts w:ascii="Calibri" w:hAnsi="Calibri"/>
                          <w:sz w:val="18"/>
                        </w:rPr>
                        <w:fldChar w:fldCharType="separate"/>
                      </w:r>
                      <w:r>
                        <w:rPr>
                          <w:rFonts w:ascii="Calibri" w:hAnsi="Calibri"/>
                          <w:noProof/>
                          <w:sz w:val="18"/>
                        </w:rPr>
                        <w:t>1</w:t>
                      </w:r>
                      <w:r w:rsidRPr="00A63284">
                        <w:rPr>
                          <w:rFonts w:ascii="Calibri" w:hAnsi="Calibri"/>
                          <w:sz w:val="18"/>
                        </w:rPr>
                        <w:fldChar w:fldCharType="end"/>
                      </w:r>
                      <w:r w:rsidRPr="00A63284">
                        <w:rPr>
                          <w:rFonts w:ascii="Calibri" w:hAnsi="Calibri"/>
                          <w:sz w:val="18"/>
                        </w:rPr>
                        <w:t>: An example of indicating alternative beams in msg. 3 of RACH procedure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="SimSun" w:cs="Arial"/>
          <w:noProof/>
          <w:lang w:val="en-US" w:eastAsia="en-US"/>
        </w:rPr>
        <w:drawing>
          <wp:inline distT="0" distB="0" distL="0" distR="0" wp14:anchorId="33140250" wp14:editId="21A97FD2">
            <wp:extent cx="4315460" cy="2698750"/>
            <wp:effectExtent l="0" t="0" r="0" b="6350"/>
            <wp:docPr id="45" name="Picture 45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 descr="A picture containing 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460" cy="269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6C512" w14:textId="77777777" w:rsidR="00682F0E" w:rsidRDefault="00682F0E" w:rsidP="00682F0E">
      <w:pPr>
        <w:pStyle w:val="maintext"/>
        <w:rPr>
          <w:sz w:val="22"/>
          <w:szCs w:val="22"/>
        </w:rPr>
      </w:pPr>
    </w:p>
    <w:p w14:paraId="5B0F72C9" w14:textId="77777777" w:rsidR="00682F0E" w:rsidRDefault="00682F0E" w:rsidP="00223ED0">
      <w:pPr>
        <w:pStyle w:val="maintext"/>
        <w:rPr>
          <w:sz w:val="22"/>
          <w:szCs w:val="22"/>
        </w:rPr>
      </w:pPr>
    </w:p>
    <w:p w14:paraId="18ECE6E1" w14:textId="12300A48" w:rsidR="0092006E" w:rsidRDefault="00223ED0" w:rsidP="00223ED0">
      <w:pPr>
        <w:pStyle w:val="maintext"/>
        <w:rPr>
          <w:sz w:val="22"/>
          <w:szCs w:val="22"/>
        </w:rPr>
      </w:pPr>
      <w:r w:rsidRPr="00223ED0">
        <w:rPr>
          <w:sz w:val="22"/>
          <w:szCs w:val="22"/>
        </w:rPr>
        <w:t xml:space="preserve">In addition to the DL Tx beam obtained at the </w:t>
      </w:r>
      <w:proofErr w:type="spellStart"/>
      <w:r w:rsidRPr="00223ED0">
        <w:rPr>
          <w:sz w:val="22"/>
          <w:szCs w:val="22"/>
        </w:rPr>
        <w:t>gNB</w:t>
      </w:r>
      <w:proofErr w:type="spellEnd"/>
      <w:r w:rsidRPr="00223ED0">
        <w:rPr>
          <w:sz w:val="22"/>
          <w:szCs w:val="22"/>
        </w:rPr>
        <w:t xml:space="preserve"> based on the detected RACH preamble resource and used </w:t>
      </w:r>
    </w:p>
    <w:p w14:paraId="460FA341" w14:textId="4783BB5A" w:rsidR="00223ED0" w:rsidRDefault="00223ED0" w:rsidP="00223ED0">
      <w:pPr>
        <w:pStyle w:val="maintext"/>
        <w:rPr>
          <w:sz w:val="22"/>
          <w:szCs w:val="22"/>
        </w:rPr>
      </w:pPr>
      <w:r w:rsidRPr="00223ED0">
        <w:rPr>
          <w:sz w:val="22"/>
          <w:szCs w:val="22"/>
        </w:rPr>
        <w:t xml:space="preserve">for DL Tx beam in msg. 2, and msg. 4 of the RACH procedure, the UE can indicate the beam ID(s) of alternative DL Tx beams that can be used for transmission at the </w:t>
      </w:r>
      <w:proofErr w:type="spellStart"/>
      <w:r w:rsidRPr="00223ED0">
        <w:rPr>
          <w:sz w:val="22"/>
          <w:szCs w:val="22"/>
        </w:rPr>
        <w:t>gNB</w:t>
      </w:r>
      <w:proofErr w:type="spellEnd"/>
      <w:r w:rsidRPr="00223ED0">
        <w:rPr>
          <w:sz w:val="22"/>
          <w:szCs w:val="22"/>
        </w:rPr>
        <w:t xml:space="preserve"> in msg. 3 payload. The alternative DL Tx beam(s) are measured at the UE using SS-</w:t>
      </w:r>
      <w:r w:rsidR="005B3F3E" w:rsidRPr="00223ED0">
        <w:rPr>
          <w:sz w:val="22"/>
          <w:szCs w:val="22"/>
        </w:rPr>
        <w:t>RSRP and</w:t>
      </w:r>
      <w:r w:rsidRPr="00223ED0">
        <w:rPr>
          <w:sz w:val="22"/>
          <w:szCs w:val="22"/>
        </w:rPr>
        <w:t xml:space="preserve"> are determined </w:t>
      </w:r>
      <w:r>
        <w:rPr>
          <w:sz w:val="22"/>
          <w:szCs w:val="22"/>
        </w:rPr>
        <w:t xml:space="preserve">at the UE </w:t>
      </w:r>
      <w:r w:rsidRPr="00223ED0">
        <w:rPr>
          <w:sz w:val="22"/>
          <w:szCs w:val="22"/>
        </w:rPr>
        <w:t xml:space="preserve">to be good candidate DL Tx beams. </w:t>
      </w:r>
      <w:r>
        <w:rPr>
          <w:sz w:val="22"/>
          <w:szCs w:val="22"/>
        </w:rPr>
        <w:t xml:space="preserve">This is further illustrated in Figure 1 whereas SS-3 is identified for transmission for msg. 2 and indicated using the PRACH preamble/resource, and SS-2 is further measured at the UE using SS-RSRP to be a good </w:t>
      </w:r>
      <w:r w:rsidR="005B3F3E">
        <w:rPr>
          <w:sz w:val="22"/>
          <w:szCs w:val="22"/>
        </w:rPr>
        <w:t xml:space="preserve">alternative </w:t>
      </w:r>
      <w:r>
        <w:rPr>
          <w:sz w:val="22"/>
          <w:szCs w:val="22"/>
        </w:rPr>
        <w:t xml:space="preserve">candidate for DL Tx beam. </w:t>
      </w:r>
      <w:r w:rsidR="005B3F3E" w:rsidRPr="00CC1020">
        <w:rPr>
          <w:sz w:val="22"/>
          <w:szCs w:val="22"/>
        </w:rPr>
        <w:t>SS-</w:t>
      </w:r>
      <w:r w:rsidR="00CC1020">
        <w:rPr>
          <w:sz w:val="22"/>
          <w:szCs w:val="22"/>
        </w:rPr>
        <w:t>2</w:t>
      </w:r>
      <w:bookmarkStart w:id="1" w:name="_GoBack"/>
      <w:bookmarkEnd w:id="1"/>
      <w:r w:rsidR="005B3F3E">
        <w:rPr>
          <w:sz w:val="22"/>
          <w:szCs w:val="22"/>
        </w:rPr>
        <w:t xml:space="preserve"> is then explicitly indicated in msg. 3 as an alternative beam to be used for subsequent channels. </w:t>
      </w:r>
    </w:p>
    <w:p w14:paraId="73A4E1FD" w14:textId="59A241A8" w:rsidR="0092006E" w:rsidRDefault="005B3F3E" w:rsidP="005B3F3E">
      <w:pPr>
        <w:pStyle w:val="maintext"/>
        <w:rPr>
          <w:rFonts w:eastAsia="SimSun" w:cs="Arial"/>
          <w:b/>
          <w:sz w:val="22"/>
          <w:szCs w:val="22"/>
        </w:rPr>
      </w:pPr>
      <w:r w:rsidRPr="00223ED0">
        <w:rPr>
          <w:rFonts w:eastAsia="SimSun" w:cs="Arial"/>
          <w:b/>
          <w:sz w:val="22"/>
          <w:szCs w:val="22"/>
        </w:rPr>
        <w:t xml:space="preserve">Proposal 1: </w:t>
      </w:r>
      <w:r>
        <w:rPr>
          <w:rFonts w:eastAsia="SimSun" w:cs="Arial"/>
          <w:b/>
          <w:sz w:val="22"/>
          <w:szCs w:val="22"/>
        </w:rPr>
        <w:t>Study</w:t>
      </w:r>
      <w:r w:rsidRPr="00223ED0">
        <w:rPr>
          <w:rFonts w:eastAsia="SimSun" w:cs="Arial"/>
          <w:b/>
          <w:sz w:val="22"/>
          <w:szCs w:val="22"/>
        </w:rPr>
        <w:t xml:space="preserve"> </w:t>
      </w:r>
      <w:r>
        <w:rPr>
          <w:rFonts w:eastAsia="SimSun" w:cs="Arial"/>
          <w:b/>
          <w:sz w:val="22"/>
          <w:szCs w:val="22"/>
        </w:rPr>
        <w:t>beam adjustment reporting</w:t>
      </w:r>
      <w:r w:rsidRPr="00223ED0">
        <w:rPr>
          <w:rFonts w:eastAsia="SimSun" w:cs="Arial"/>
          <w:b/>
          <w:sz w:val="22"/>
          <w:szCs w:val="22"/>
        </w:rPr>
        <w:t xml:space="preserve"> in msg. 3</w:t>
      </w:r>
    </w:p>
    <w:p w14:paraId="40BDB04F" w14:textId="77777777" w:rsidR="00682F0E" w:rsidRPr="00682F0E" w:rsidRDefault="00682F0E" w:rsidP="005B3F3E">
      <w:pPr>
        <w:pStyle w:val="maintext"/>
        <w:rPr>
          <w:rFonts w:eastAsia="SimSun" w:cs="Arial"/>
          <w:b/>
          <w:sz w:val="22"/>
          <w:szCs w:val="22"/>
        </w:rPr>
      </w:pPr>
    </w:p>
    <w:p w14:paraId="6B15C03C" w14:textId="0DF22961" w:rsidR="00AC6EB3" w:rsidRPr="00682F0E" w:rsidRDefault="005B3F3E" w:rsidP="00682F0E">
      <w:pPr>
        <w:pStyle w:val="maintext"/>
        <w:rPr>
          <w:rFonts w:eastAsia="SimSun" w:cs="Arial"/>
          <w:bCs/>
          <w:sz w:val="22"/>
          <w:szCs w:val="22"/>
        </w:rPr>
      </w:pPr>
      <w:r w:rsidRPr="005B3F3E">
        <w:rPr>
          <w:rFonts w:eastAsia="SimSun" w:cs="Arial"/>
          <w:bCs/>
          <w:sz w:val="22"/>
          <w:szCs w:val="22"/>
        </w:rPr>
        <w:t xml:space="preserve">When the alternative DL Tx beam(s) are indicated in msg. 3, the </w:t>
      </w:r>
      <w:proofErr w:type="spellStart"/>
      <w:r w:rsidRPr="005B3F3E">
        <w:rPr>
          <w:rFonts w:eastAsia="SimSun" w:cs="Arial"/>
          <w:bCs/>
          <w:sz w:val="22"/>
          <w:szCs w:val="22"/>
        </w:rPr>
        <w:t>gNB</w:t>
      </w:r>
      <w:proofErr w:type="spellEnd"/>
      <w:r w:rsidRPr="005B3F3E">
        <w:rPr>
          <w:rFonts w:eastAsia="SimSun" w:cs="Arial"/>
          <w:bCs/>
          <w:sz w:val="22"/>
          <w:szCs w:val="22"/>
        </w:rPr>
        <w:t xml:space="preserve"> can make use of the beam adjustment information for DL transmission to the UE. When msg. 3 is successfully decoded, the </w:t>
      </w:r>
      <w:proofErr w:type="spellStart"/>
      <w:r w:rsidRPr="005B3F3E">
        <w:rPr>
          <w:rFonts w:eastAsia="SimSun" w:cs="Arial"/>
          <w:bCs/>
          <w:sz w:val="22"/>
          <w:szCs w:val="22"/>
        </w:rPr>
        <w:t>gNB</w:t>
      </w:r>
      <w:proofErr w:type="spellEnd"/>
      <w:r w:rsidRPr="005B3F3E">
        <w:rPr>
          <w:rFonts w:eastAsia="SimSun" w:cs="Arial"/>
          <w:bCs/>
          <w:sz w:val="22"/>
          <w:szCs w:val="22"/>
        </w:rPr>
        <w:t xml:space="preserve"> has access to at least two beams to use for DL channels. The </w:t>
      </w:r>
      <w:proofErr w:type="spellStart"/>
      <w:r w:rsidRPr="005B3F3E">
        <w:rPr>
          <w:rFonts w:eastAsia="SimSun" w:cs="Arial"/>
          <w:bCs/>
          <w:sz w:val="22"/>
          <w:szCs w:val="22"/>
        </w:rPr>
        <w:t>gNB</w:t>
      </w:r>
      <w:proofErr w:type="spellEnd"/>
      <w:r w:rsidRPr="005B3F3E">
        <w:rPr>
          <w:rFonts w:eastAsia="SimSun" w:cs="Arial"/>
          <w:bCs/>
          <w:sz w:val="22"/>
          <w:szCs w:val="22"/>
        </w:rPr>
        <w:t xml:space="preserve"> can then either choose the original beam or the new beam </w:t>
      </w:r>
      <w:r w:rsidR="00D52AFA" w:rsidRPr="005B3F3E">
        <w:rPr>
          <w:rFonts w:eastAsia="SimSun" w:cs="Arial"/>
          <w:bCs/>
          <w:sz w:val="22"/>
          <w:szCs w:val="22"/>
        </w:rPr>
        <w:t>for transmission</w:t>
      </w:r>
      <w:r w:rsidRPr="005B3F3E">
        <w:rPr>
          <w:rFonts w:eastAsia="SimSun" w:cs="Arial"/>
          <w:bCs/>
          <w:sz w:val="22"/>
          <w:szCs w:val="22"/>
        </w:rPr>
        <w:t xml:space="preserve"> of msg. </w:t>
      </w:r>
      <w:proofErr w:type="gramStart"/>
      <w:r w:rsidRPr="005B3F3E">
        <w:rPr>
          <w:rFonts w:eastAsia="SimSun" w:cs="Arial"/>
          <w:bCs/>
          <w:sz w:val="22"/>
          <w:szCs w:val="22"/>
        </w:rPr>
        <w:t>4, or</w:t>
      </w:r>
      <w:proofErr w:type="gramEnd"/>
      <w:r w:rsidRPr="005B3F3E">
        <w:rPr>
          <w:rFonts w:eastAsia="SimSun" w:cs="Arial"/>
          <w:bCs/>
          <w:sz w:val="22"/>
          <w:szCs w:val="22"/>
        </w:rPr>
        <w:t xml:space="preserve"> transmit the same msg. 4 on two beams. This increased diversity help improve the robustness and the coverage of </w:t>
      </w:r>
      <w:r w:rsidR="00564E6F">
        <w:rPr>
          <w:rFonts w:eastAsia="SimSun" w:cs="Arial"/>
          <w:bCs/>
          <w:sz w:val="22"/>
          <w:szCs w:val="22"/>
        </w:rPr>
        <w:t>physical channels in initial access/random access procedure</w:t>
      </w:r>
      <w:r w:rsidRPr="005B3F3E">
        <w:rPr>
          <w:rFonts w:eastAsia="SimSun" w:cs="Arial"/>
          <w:bCs/>
          <w:sz w:val="22"/>
          <w:szCs w:val="22"/>
        </w:rPr>
        <w:t xml:space="preserve">. It can further be useful </w:t>
      </w:r>
      <w:r w:rsidR="00564E6F">
        <w:rPr>
          <w:rFonts w:eastAsia="SimSun" w:cs="Arial"/>
          <w:bCs/>
          <w:sz w:val="22"/>
          <w:szCs w:val="22"/>
        </w:rPr>
        <w:t xml:space="preserve">for coverage enhancements for </w:t>
      </w:r>
      <w:r w:rsidRPr="005B3F3E">
        <w:rPr>
          <w:rFonts w:eastAsia="SimSun" w:cs="Arial"/>
          <w:bCs/>
          <w:sz w:val="22"/>
          <w:szCs w:val="22"/>
        </w:rPr>
        <w:t xml:space="preserve">subsequent connected mode </w:t>
      </w:r>
      <w:r w:rsidR="00D52AFA">
        <w:rPr>
          <w:rFonts w:eastAsia="SimSun" w:cs="Arial"/>
          <w:bCs/>
          <w:sz w:val="22"/>
          <w:szCs w:val="22"/>
        </w:rPr>
        <w:t xml:space="preserve">physical </w:t>
      </w:r>
      <w:r w:rsidRPr="005B3F3E">
        <w:rPr>
          <w:rFonts w:eastAsia="SimSun" w:cs="Arial"/>
          <w:bCs/>
          <w:sz w:val="22"/>
          <w:szCs w:val="22"/>
        </w:rPr>
        <w:t>channels</w:t>
      </w:r>
      <w:r w:rsidR="00564E6F">
        <w:rPr>
          <w:rFonts w:eastAsia="SimSun" w:cs="Arial"/>
          <w:bCs/>
          <w:sz w:val="22"/>
          <w:szCs w:val="22"/>
        </w:rPr>
        <w:t>.</w:t>
      </w:r>
      <w:r w:rsidRPr="005B3F3E">
        <w:rPr>
          <w:rFonts w:eastAsia="SimSun" w:cs="Arial"/>
          <w:bCs/>
          <w:sz w:val="22"/>
          <w:szCs w:val="22"/>
        </w:rPr>
        <w:t xml:space="preserve">  </w:t>
      </w:r>
    </w:p>
    <w:p w14:paraId="6A5580A0" w14:textId="7149848B" w:rsidR="00BA1D3B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lastRenderedPageBreak/>
        <w:t>Conclusion</w:t>
      </w:r>
    </w:p>
    <w:p w14:paraId="2C6EBAD7" w14:textId="18763E0F" w:rsidR="00682F0E" w:rsidRDefault="00682F0E" w:rsidP="00682F0E">
      <w:pPr>
        <w:ind w:firstLine="220"/>
        <w:rPr>
          <w:rFonts w:ascii="Calibri" w:hAnsi="Calibri" w:cs="Calibri"/>
          <w:sz w:val="22"/>
          <w:szCs w:val="22"/>
        </w:rPr>
      </w:pPr>
      <w:r w:rsidRPr="00682F0E">
        <w:rPr>
          <w:rFonts w:ascii="Calibri" w:hAnsi="Calibri" w:cs="Calibri"/>
          <w:sz w:val="22"/>
          <w:szCs w:val="22"/>
        </w:rPr>
        <w:t xml:space="preserve">In this </w:t>
      </w:r>
      <w:r>
        <w:rPr>
          <w:rFonts w:ascii="Calibri" w:hAnsi="Calibri" w:cs="Calibri"/>
          <w:sz w:val="22"/>
          <w:szCs w:val="22"/>
        </w:rPr>
        <w:t>contribution, we proposed beam reporting/adjustment to improve coverage in initial access.</w:t>
      </w:r>
    </w:p>
    <w:p w14:paraId="0B37781B" w14:textId="2FC5C9A3" w:rsidR="00682F0E" w:rsidRDefault="00682F0E" w:rsidP="00682F0E">
      <w:pPr>
        <w:ind w:firstLine="2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We made the following observation and proposal.</w:t>
      </w:r>
    </w:p>
    <w:p w14:paraId="22167B8C" w14:textId="51D53CEB" w:rsidR="00682F0E" w:rsidRPr="0092006E" w:rsidRDefault="00682F0E" w:rsidP="00682F0E">
      <w:pPr>
        <w:spacing w:line="312" w:lineRule="auto"/>
        <w:ind w:left="220" w:firstLineChars="0" w:firstLine="0"/>
        <w:rPr>
          <w:rFonts w:ascii="Calibri" w:eastAsia="SimSun" w:hAnsi="Calibri" w:cs="Arial"/>
          <w:b/>
          <w:sz w:val="22"/>
          <w:szCs w:val="22"/>
          <w:lang w:val="en-GB"/>
        </w:rPr>
      </w:pPr>
      <w:r w:rsidRPr="00223ED0">
        <w:rPr>
          <w:rFonts w:ascii="Calibri" w:eastAsia="SimSun" w:hAnsi="Calibri" w:cs="Arial"/>
          <w:b/>
          <w:sz w:val="22"/>
          <w:szCs w:val="22"/>
          <w:lang w:val="en-GB"/>
        </w:rPr>
        <w:t>Observation 1: Beam adjustment using alternative beam reporting in msg. 3 is beneficial for initial access coverage enhancement</w:t>
      </w:r>
    </w:p>
    <w:p w14:paraId="17887EF4" w14:textId="77777777" w:rsidR="00682F0E" w:rsidRDefault="00682F0E" w:rsidP="00682F0E">
      <w:pPr>
        <w:pStyle w:val="maintext"/>
        <w:ind w:left="220"/>
        <w:rPr>
          <w:rFonts w:eastAsia="SimSun" w:cs="Arial"/>
          <w:b/>
          <w:sz w:val="22"/>
          <w:szCs w:val="22"/>
        </w:rPr>
      </w:pPr>
      <w:r w:rsidRPr="00223ED0">
        <w:rPr>
          <w:rFonts w:eastAsia="SimSun" w:cs="Arial"/>
          <w:b/>
          <w:sz w:val="22"/>
          <w:szCs w:val="22"/>
        </w:rPr>
        <w:t xml:space="preserve">Proposal 1: </w:t>
      </w:r>
      <w:r>
        <w:rPr>
          <w:rFonts w:eastAsia="SimSun" w:cs="Arial"/>
          <w:b/>
          <w:sz w:val="22"/>
          <w:szCs w:val="22"/>
        </w:rPr>
        <w:t>Study</w:t>
      </w:r>
      <w:r w:rsidRPr="00223ED0">
        <w:rPr>
          <w:rFonts w:eastAsia="SimSun" w:cs="Arial"/>
          <w:b/>
          <w:sz w:val="22"/>
          <w:szCs w:val="22"/>
        </w:rPr>
        <w:t xml:space="preserve"> </w:t>
      </w:r>
      <w:r>
        <w:rPr>
          <w:rFonts w:eastAsia="SimSun" w:cs="Arial"/>
          <w:b/>
          <w:sz w:val="22"/>
          <w:szCs w:val="22"/>
        </w:rPr>
        <w:t>beam adjustment reporting</w:t>
      </w:r>
      <w:r w:rsidRPr="00223ED0">
        <w:rPr>
          <w:rFonts w:eastAsia="SimSun" w:cs="Arial"/>
          <w:b/>
          <w:sz w:val="22"/>
          <w:szCs w:val="22"/>
        </w:rPr>
        <w:t xml:space="preserve"> in msg. 3</w:t>
      </w:r>
    </w:p>
    <w:p w14:paraId="0EAC8264" w14:textId="77777777" w:rsidR="00682F0E" w:rsidRPr="00682F0E" w:rsidRDefault="00682F0E" w:rsidP="00682F0E"/>
    <w:p w14:paraId="0563EE83" w14:textId="77777777" w:rsidR="00BA1D3B" w:rsidRDefault="00BA1D3B" w:rsidP="00682F0E">
      <w:pPr>
        <w:pStyle w:val="Heading1"/>
        <w:rPr>
          <w:lang w:val="en-US" w:eastAsia="ko-KR"/>
        </w:rPr>
      </w:pPr>
      <w:r w:rsidRPr="00F40EEC">
        <w:rPr>
          <w:rFonts w:hint="eastAsia"/>
          <w:lang w:val="en-US" w:eastAsia="ko-KR"/>
        </w:rPr>
        <w:t>References</w:t>
      </w:r>
    </w:p>
    <w:p w14:paraId="017BD647" w14:textId="2881A8B2" w:rsidR="002A49FA" w:rsidRPr="00682F0E" w:rsidRDefault="00682F0E" w:rsidP="002A49FA">
      <w:pPr>
        <w:spacing w:before="0" w:after="0" w:line="240" w:lineRule="auto"/>
        <w:ind w:left="420" w:firstLineChars="0" w:firstLine="0"/>
        <w:jc w:val="left"/>
        <w:rPr>
          <w:rFonts w:ascii="Calibri" w:hAnsi="Calibri" w:cs="Calibri"/>
          <w:sz w:val="22"/>
          <w:szCs w:val="22"/>
        </w:rPr>
      </w:pPr>
      <w:r w:rsidRPr="00682F0E">
        <w:rPr>
          <w:rFonts w:ascii="Calibri" w:hAnsi="Calibri" w:cs="Calibri"/>
          <w:sz w:val="22"/>
          <w:szCs w:val="22"/>
        </w:rPr>
        <w:t>[1] Chairman’s notes, RAN1#102e, e-meeting, August 17</w:t>
      </w:r>
      <w:r w:rsidRPr="00682F0E">
        <w:rPr>
          <w:rFonts w:ascii="Calibri" w:hAnsi="Calibri" w:cs="Calibri"/>
          <w:sz w:val="22"/>
          <w:szCs w:val="22"/>
          <w:vertAlign w:val="superscript"/>
        </w:rPr>
        <w:t>th</w:t>
      </w:r>
      <w:r w:rsidRPr="00682F0E">
        <w:rPr>
          <w:rFonts w:ascii="Calibri" w:hAnsi="Calibri" w:cs="Calibri"/>
          <w:sz w:val="22"/>
          <w:szCs w:val="22"/>
        </w:rPr>
        <w:t>-28</w:t>
      </w:r>
      <w:r w:rsidRPr="00682F0E">
        <w:rPr>
          <w:rFonts w:ascii="Calibri" w:hAnsi="Calibri" w:cs="Calibri"/>
          <w:sz w:val="22"/>
          <w:szCs w:val="22"/>
          <w:vertAlign w:val="superscript"/>
        </w:rPr>
        <w:t>th</w:t>
      </w:r>
      <w:r w:rsidRPr="00682F0E">
        <w:rPr>
          <w:rFonts w:ascii="Calibri" w:hAnsi="Calibri" w:cs="Calibri"/>
          <w:sz w:val="22"/>
          <w:szCs w:val="22"/>
        </w:rPr>
        <w:t xml:space="preserve">, 2020 </w:t>
      </w:r>
    </w:p>
    <w:p w14:paraId="6C2FE45E" w14:textId="77777777" w:rsidR="002A49FA" w:rsidRPr="002A49FA" w:rsidRDefault="002A49FA" w:rsidP="002A49FA"/>
    <w:p w14:paraId="492D46DE" w14:textId="0458DD18" w:rsidR="002A49FA" w:rsidRDefault="002A49FA" w:rsidP="002A49FA"/>
    <w:p w14:paraId="60268768" w14:textId="412588A2" w:rsidR="00E5623F" w:rsidRPr="002A49FA" w:rsidRDefault="002A49FA" w:rsidP="002A49FA">
      <w:pPr>
        <w:tabs>
          <w:tab w:val="left" w:pos="8987"/>
        </w:tabs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664FF" w14:textId="77777777" w:rsidR="00573E11" w:rsidRDefault="00573E11" w:rsidP="007378B8">
      <w:r>
        <w:separator/>
      </w:r>
    </w:p>
  </w:endnote>
  <w:endnote w:type="continuationSeparator" w:id="0">
    <w:p w14:paraId="29CB3D33" w14:textId="77777777" w:rsidR="00573E11" w:rsidRDefault="00573E11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02B03" w14:textId="69B471BE" w:rsidR="00E10C74" w:rsidRDefault="00E10C74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6B7052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D2600" w14:textId="77777777" w:rsidR="00573E11" w:rsidRDefault="00573E11" w:rsidP="007378B8">
      <w:r>
        <w:separator/>
      </w:r>
    </w:p>
  </w:footnote>
  <w:footnote w:type="continuationSeparator" w:id="0">
    <w:p w14:paraId="7347AFA8" w14:textId="77777777" w:rsidR="00573E11" w:rsidRDefault="00573E11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97C5F" w14:textId="77777777" w:rsidR="00E10C74" w:rsidRDefault="00E10C74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02D610B"/>
    <w:multiLevelType w:val="singleLevel"/>
    <w:tmpl w:val="E02D610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1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D071DB"/>
    <w:multiLevelType w:val="hybridMultilevel"/>
    <w:tmpl w:val="A5A89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3"/>
  </w:num>
  <w:num w:numId="4">
    <w:abstractNumId w:val="17"/>
  </w:num>
  <w:num w:numId="5">
    <w:abstractNumId w:val="2"/>
  </w:num>
  <w:num w:numId="6">
    <w:abstractNumId w:val="7"/>
  </w:num>
  <w:num w:numId="7">
    <w:abstractNumId w:val="20"/>
  </w:num>
  <w:num w:numId="8">
    <w:abstractNumId w:val="3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9"/>
  </w:num>
  <w:num w:numId="12">
    <w:abstractNumId w:val="18"/>
  </w:num>
  <w:num w:numId="13">
    <w:abstractNumId w:val="4"/>
  </w:num>
  <w:num w:numId="14">
    <w:abstractNumId w:val="9"/>
  </w:num>
  <w:num w:numId="15">
    <w:abstractNumId w:val="14"/>
  </w:num>
  <w:num w:numId="16">
    <w:abstractNumId w:val="6"/>
  </w:num>
  <w:num w:numId="17">
    <w:abstractNumId w:val="5"/>
  </w:num>
  <w:num w:numId="18">
    <w:abstractNumId w:val="8"/>
  </w:num>
  <w:num w:numId="19">
    <w:abstractNumId w:val="0"/>
  </w:num>
  <w:num w:numId="20">
    <w:abstractNumId w:val="15"/>
  </w:num>
  <w:num w:numId="21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439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0EB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6B92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316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ECF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A12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067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ED0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2CF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6204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67C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7DD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0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189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577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4E6F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E11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3F3E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225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7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684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2F0E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052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6E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11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6E8D"/>
    <w:rsid w:val="00AC6EB3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02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2AFA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49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842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187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0E8D97B2-375A-4D26-A48C-CC49DB3E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Steps-8thset">
    <w:name w:val="Steps-8th set"/>
    <w:basedOn w:val="List2"/>
    <w:rsid w:val="00990115"/>
    <w:pPr>
      <w:widowControl w:val="0"/>
      <w:numPr>
        <w:numId w:val="20"/>
      </w:numPr>
      <w:tabs>
        <w:tab w:val="clear" w:pos="936"/>
        <w:tab w:val="num" w:pos="360"/>
      </w:tabs>
      <w:spacing w:before="120" w:after="120" w:line="240" w:lineRule="auto"/>
      <w:ind w:left="720" w:firstLineChars="0" w:hanging="360"/>
      <w:jc w:val="left"/>
    </w:pPr>
    <w:rPr>
      <w:rFonts w:eastAsia="Times New Roman" w:cs="Times New Roman"/>
      <w:color w:val="auto"/>
      <w:kern w:val="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990115"/>
    <w:pPr>
      <w:ind w:firstLineChars="0" w:firstLine="0"/>
    </w:pPr>
    <w:rPr>
      <w:rFonts w:ascii="Calibri" w:eastAsia="Malgun Gothic" w:hAnsi="Calibri" w:cs="Batang"/>
      <w:lang w:val="en-GB"/>
    </w:rPr>
  </w:style>
  <w:style w:type="character" w:customStyle="1" w:styleId="maintextChar">
    <w:name w:val="main text Char"/>
    <w:link w:val="maintext"/>
    <w:rsid w:val="00990115"/>
    <w:rPr>
      <w:rFonts w:ascii="Calibri" w:eastAsia="Malgun Gothic" w:hAnsi="Calibri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D056A-95AE-4B6E-A386-72173B258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AT&amp;T</Company>
  <LinksUpToDate>false</LinksUpToDate>
  <CharactersWithSpaces>4097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 Akoum</dc:creator>
  <cp:keywords/>
  <dc:description/>
  <cp:lastModifiedBy>Milap Majmundar (AT&amp;T)</cp:lastModifiedBy>
  <cp:revision>2</cp:revision>
  <dcterms:created xsi:type="dcterms:W3CDTF">2020-10-16T20:07:00Z</dcterms:created>
  <dcterms:modified xsi:type="dcterms:W3CDTF">2020-10-16T20:07:00Z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